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561"/>
        <w:jc w:val="center"/>
        <w:rPr>
          <w:rFonts w:hint="eastAsia" w:ascii="华文中宋" w:hAnsi="华文中宋" w:eastAsia="华文中宋" w:cs="华文中宋"/>
          <w:b/>
          <w:bCs/>
          <w:spacing w:val="6"/>
          <w:sz w:val="44"/>
          <w:szCs w:val="44"/>
        </w:rPr>
      </w:pPr>
      <w:r>
        <w:rPr>
          <w:rFonts w:hint="eastAsia" w:ascii="华文中宋" w:hAnsi="华文中宋" w:eastAsia="华文中宋" w:cs="华文中宋"/>
          <w:b/>
          <w:bCs/>
          <w:spacing w:val="6"/>
          <w:sz w:val="44"/>
          <w:szCs w:val="44"/>
        </w:rPr>
        <w:t>2025年长春市青少年网球锦标赛</w:t>
      </w:r>
    </w:p>
    <w:p>
      <w:pPr>
        <w:snapToGrid w:val="0"/>
        <w:spacing w:line="600" w:lineRule="exact"/>
        <w:ind w:left="561"/>
        <w:jc w:val="center"/>
        <w:rPr>
          <w:rFonts w:hint="eastAsia" w:ascii="华文中宋" w:hAnsi="华文中宋" w:eastAsia="华文中宋" w:cs="华文中宋"/>
          <w:b/>
          <w:bCs/>
          <w:sz w:val="44"/>
          <w:szCs w:val="44"/>
        </w:rPr>
      </w:pPr>
      <w:r>
        <w:rPr>
          <w:rFonts w:hint="eastAsia" w:ascii="华文中宋" w:hAnsi="华文中宋" w:eastAsia="华文中宋" w:cs="华文中宋"/>
          <w:b/>
          <w:bCs/>
          <w:spacing w:val="6"/>
          <w:sz w:val="44"/>
          <w:szCs w:val="44"/>
        </w:rPr>
        <w:t>竞赛规程</w:t>
      </w:r>
    </w:p>
    <w:p>
      <w:pPr>
        <w:spacing w:before="120" w:after="156" w:afterLines="50"/>
        <w:ind w:left="105" w:leftChars="50" w:right="6" w:firstLine="584" w:firstLineChars="200"/>
        <w:outlineLvl w:val="0"/>
        <w:rPr>
          <w:rFonts w:hint="eastAsia" w:ascii="黑体" w:hAnsi="黑体" w:eastAsia="黑体" w:cs="黑体"/>
          <w:spacing w:val="6"/>
          <w:sz w:val="28"/>
          <w:szCs w:val="28"/>
        </w:rPr>
      </w:pP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一、主办单位</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长春市体育局</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二、承办单位</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长春市体育运动学校</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三、协办单位</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长春市网球协会</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四、竞赛日期和地点</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竞赛日期：2025年9月13—14日</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rPr>
        <w:t>竞赛地点：长春市体育运动学校</w:t>
      </w:r>
      <w:r>
        <w:rPr>
          <w:rFonts w:hint="eastAsia" w:ascii="仿宋_GB2312" w:hAnsi="仿宋_GB2312" w:eastAsia="仿宋_GB2312" w:cs="仿宋_GB2312"/>
          <w:b w:val="0"/>
          <w:bCs w:val="0"/>
          <w:spacing w:val="6"/>
          <w:sz w:val="32"/>
          <w:szCs w:val="32"/>
          <w:lang w:val="en-US" w:eastAsia="zh-CN"/>
        </w:rPr>
        <w:t>网球场</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五、竞赛项目</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男子单打、女子单打</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六、参加单位</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吉林省内各俱乐部、特色校及个人</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七、参加办法</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eastAsia="zh-CN"/>
        </w:rPr>
        <w:t>（一）</w:t>
      </w:r>
      <w:r>
        <w:rPr>
          <w:rFonts w:hint="eastAsia" w:ascii="仿宋_GB2312" w:hAnsi="仿宋_GB2312" w:eastAsia="仿宋_GB2312" w:cs="仿宋_GB2312"/>
          <w:b w:val="0"/>
          <w:bCs w:val="0"/>
          <w:spacing w:val="6"/>
          <w:sz w:val="32"/>
          <w:szCs w:val="32"/>
        </w:rPr>
        <w:t>以俱乐部、特色校、个人报名参赛。</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eastAsia="zh-CN"/>
        </w:rPr>
        <w:t>（二）</w:t>
      </w:r>
      <w:r>
        <w:rPr>
          <w:rFonts w:hint="eastAsia" w:ascii="仿宋_GB2312" w:hAnsi="仿宋_GB2312" w:eastAsia="仿宋_GB2312" w:cs="仿宋_GB2312"/>
          <w:b w:val="0"/>
          <w:bCs w:val="0"/>
          <w:spacing w:val="6"/>
          <w:sz w:val="32"/>
          <w:szCs w:val="32"/>
        </w:rPr>
        <w:t>运动员年龄规定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1、U16组：15岁-16岁</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2009.1.1-20</w:t>
      </w:r>
      <w:r>
        <w:rPr>
          <w:rFonts w:hint="eastAsia" w:ascii="仿宋_GB2312" w:hAnsi="仿宋_GB2312" w:eastAsia="仿宋_GB2312" w:cs="仿宋_GB2312"/>
          <w:b w:val="0"/>
          <w:bCs w:val="0"/>
          <w:spacing w:val="6"/>
          <w:sz w:val="32"/>
          <w:szCs w:val="32"/>
          <w:lang w:val="en-US" w:eastAsia="zh-CN"/>
        </w:rPr>
        <w:t>1</w:t>
      </w:r>
      <w:r>
        <w:rPr>
          <w:rFonts w:hint="eastAsia" w:ascii="仿宋_GB2312" w:hAnsi="仿宋_GB2312" w:eastAsia="仿宋_GB2312" w:cs="仿宋_GB2312"/>
          <w:b w:val="0"/>
          <w:bCs w:val="0"/>
          <w:spacing w:val="6"/>
          <w:sz w:val="32"/>
          <w:szCs w:val="32"/>
        </w:rPr>
        <w:t>0.12.31出生</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2、U14组：13岁-14岁</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2011.1.1-2012.12.31出生</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3、U12组：11岁-12岁</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2013.1.1-2014.12.31出生</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4、U10组：9岁-10岁</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2015.1.1-2016.12.31出生</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5、U8组：8岁以下</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2017.1.1以后出生</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（三）运动员须</w:t>
      </w:r>
      <w:r>
        <w:rPr>
          <w:rFonts w:hint="eastAsia" w:ascii="仿宋_GB2312" w:hAnsi="仿宋_GB2312" w:eastAsia="仿宋_GB2312" w:cs="仿宋_GB2312"/>
          <w:b w:val="0"/>
          <w:bCs w:val="0"/>
          <w:spacing w:val="6"/>
          <w:sz w:val="32"/>
          <w:szCs w:val="32"/>
          <w:lang w:val="en-US" w:eastAsia="zh-CN"/>
        </w:rPr>
        <w:t>在</w:t>
      </w:r>
      <w:r>
        <w:rPr>
          <w:rFonts w:hint="eastAsia" w:ascii="仿宋_GB2312" w:hAnsi="仿宋_GB2312" w:eastAsia="仿宋_GB2312" w:cs="仿宋_GB2312"/>
          <w:b w:val="0"/>
          <w:bCs w:val="0"/>
          <w:spacing w:val="6"/>
          <w:sz w:val="32"/>
          <w:szCs w:val="32"/>
          <w:lang w:eastAsia="zh-CN"/>
        </w:rPr>
        <w:t>县级以上医院</w:t>
      </w:r>
      <w:r>
        <w:rPr>
          <w:rFonts w:hint="eastAsia" w:ascii="仿宋_GB2312" w:hAnsi="仿宋_GB2312" w:eastAsia="仿宋_GB2312" w:cs="仿宋_GB2312"/>
          <w:b w:val="0"/>
          <w:bCs w:val="0"/>
          <w:spacing w:val="6"/>
          <w:sz w:val="32"/>
          <w:szCs w:val="32"/>
          <w:lang w:val="en-US" w:eastAsia="zh-CN"/>
        </w:rPr>
        <w:t>体检，身体健康符合参赛标准后参赛</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（四）参赛运动员</w:t>
      </w:r>
      <w:r>
        <w:rPr>
          <w:rFonts w:hint="eastAsia" w:ascii="仿宋_GB2312" w:hAnsi="仿宋_GB2312" w:eastAsia="仿宋_GB2312" w:cs="仿宋_GB2312"/>
          <w:b w:val="0"/>
          <w:bCs w:val="0"/>
          <w:spacing w:val="6"/>
          <w:sz w:val="32"/>
          <w:szCs w:val="32"/>
          <w:lang w:val="en-US" w:eastAsia="zh-CN"/>
        </w:rPr>
        <w:t>须购买含比赛当日运动意外险</w:t>
      </w:r>
      <w:r>
        <w:rPr>
          <w:rFonts w:hint="eastAsia" w:ascii="仿宋_GB2312" w:hAnsi="仿宋_GB2312" w:eastAsia="仿宋_GB2312" w:cs="仿宋_GB2312"/>
          <w:b w:val="0"/>
          <w:bCs w:val="0"/>
          <w:spacing w:val="6"/>
          <w:sz w:val="32"/>
          <w:szCs w:val="32"/>
          <w:lang w:eastAsia="zh-CN"/>
        </w:rPr>
        <w:t>。</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五</w:t>
      </w:r>
      <w:r>
        <w:rPr>
          <w:rFonts w:hint="eastAsia" w:ascii="仿宋_GB2312" w:hAnsi="仿宋_GB2312" w:eastAsia="仿宋_GB2312" w:cs="仿宋_GB2312"/>
          <w:b w:val="0"/>
          <w:bCs w:val="0"/>
          <w:spacing w:val="6"/>
          <w:sz w:val="32"/>
          <w:szCs w:val="32"/>
          <w:lang w:eastAsia="zh-CN"/>
        </w:rPr>
        <w:t>）各组别报名不足4人，取消该组别比赛。</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六</w:t>
      </w:r>
      <w:r>
        <w:rPr>
          <w:rFonts w:hint="eastAsia" w:ascii="仿宋_GB2312" w:hAnsi="仿宋_GB2312" w:eastAsia="仿宋_GB2312" w:cs="仿宋_GB2312"/>
          <w:b w:val="0"/>
          <w:bCs w:val="0"/>
          <w:spacing w:val="6"/>
          <w:sz w:val="32"/>
          <w:szCs w:val="32"/>
          <w:lang w:eastAsia="zh-CN"/>
        </w:rPr>
        <w:t>）运动员不得跨组别参赛。</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八、竞赛办法</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（一）采用中国网球协会审定的最新《网球竞赛规则》。</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（二）赛制</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1.各组别竞赛办法</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(1)U16组别</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(A)比赛设男子单打和女子单打。</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(B)比赛采用淘汰赛制。根据实际参赛人数设定签位。比赛设定签位为8、16、32和64签位。</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(C)除决赛之外，采用短盘平局决胜制，三盘两胜制，双方盘数为1:1时，决胜盘“抢十”决出胜负。短盘平局决胜即每盘先胜4 局且净胜2局者获得该盘胜利，当局数为4:4时，用一个“抢七”局决出胜负。决赛采用单盘平局决胜，三盘两胜制，当盘数为1:1时，决胜盘“抢十”决出胜负。</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(2)U14组别</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(A)比赛设男子单打和女子单打。</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(B)比赛采用淘汰赛制。根据实际参赛人数设定签位。比赛设定签位为8、16、32和64签位。</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C)采用单盘平局决胜制，即每场比赛只打一盘，每盘比赛先得6局并净胜2局的一方获胜。当局数为6:6时，采用一个“抢七”局决定胜负。决赛采用短盘平局决胜制，三盘两胜制，双方盘数为1:1时，决胜盘“抢十”决出胜负。</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(3)U12组别</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(A)比赛设男子单打和女子单打。</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(B)比赛分两个阶段进行，第一阶段为分组循环赛，按参赛人数分组，每组取前2名进入下一阶段；第二阶段单淘汰赛制，抽签决定选手对阵次序，第一阶段同一小组的两名选手在第一轮回避。</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C)第一阶段比赛采用短盘无占先平局决胜制（即每盘比赛先到4局并净胜2局者获胜，当每局比分40:40时，采用1分决胜。当局数4:4时，采用一个“抢七”局决出比赛胜负）。第二阶段比赛先采用单盘无占先平局决胜制（即每盘比赛先到6局并净胜2局者获胜，当每局比分40:40时，采用1分决胜。当局数6:6时，采用一个“抢七”局决出比赛胜负）。决赛采用短盘平局决胜无占先制，三盘二胜制，当盘数为1:1时，决胜盘“抢十”决出胜负。</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(D)比赛使用标准网球场地。</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 xml:space="preserve">(4)U10组别   </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(A)比赛设男子单打、女子单打。</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eastAsia="仿宋_GB2312" w:cs="仿宋_GB2312"/>
          <w:b w:val="0"/>
          <w:bCs w:val="0"/>
          <w:spacing w:val="6"/>
          <w:sz w:val="32"/>
          <w:szCs w:val="32"/>
          <w:lang w:eastAsia="zh-CN"/>
        </w:rPr>
        <w:t>B</w:t>
      </w: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eastAsia="仿宋_GB2312" w:cs="仿宋_GB2312"/>
          <w:b w:val="0"/>
          <w:bCs w:val="0"/>
          <w:spacing w:val="6"/>
          <w:sz w:val="32"/>
          <w:szCs w:val="32"/>
          <w:lang w:eastAsia="zh-CN"/>
        </w:rPr>
        <w:t>每名选手可报两项。</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C)第一阶段比赛采用短盘无占先平局决胜制（即每盘比赛先到4局并净胜2局者获胜，当每局比分40:40时，采用1分决胜。当局数4:4时，采用一个“抢七”局决出比赛胜负）。第二阶段比赛先采用单盘无占先平局决胜制（即每盘比赛先到6局并净胜2局者获胜，当每局比分40:40时，采用1分决胜。当局数6:6时，采用一个“抢七”局决出比赛胜负）。决赛采用短盘平局决胜无占先制，三盘二胜制，当盘数为1:1时，决胜盘“抢十”决出胜负。</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 xml:space="preserve">(D)比赛使用绿色球/过渡球（减压25%）。 </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(F)比赛在标准场地进行。</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(5)U8组别</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(A)只设男子单打和女子单打。</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(B)比赛采用抢11分赛制，先到11分者获胜，当比分10:10 时，1分决胜制。</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(C)比赛分两个阶段进行，第一阶段为分组循环赛，按参赛人数分组，每组取前2名进入下一阶段；第二阶段单淘汰赛制，抽签决定选手对阵次序，第一阶段同一小组的两名选手在第一轮回避。</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D</w:t>
      </w:r>
      <w:r>
        <w:rPr>
          <w:rFonts w:hint="eastAsia" w:ascii="仿宋_GB2312" w:hAnsi="仿宋_GB2312" w:eastAsia="仿宋_GB2312" w:cs="仿宋_GB2312"/>
          <w:b w:val="0"/>
          <w:bCs w:val="0"/>
          <w:spacing w:val="6"/>
          <w:sz w:val="32"/>
          <w:szCs w:val="32"/>
          <w:lang w:eastAsia="zh-CN"/>
        </w:rPr>
        <w:t>)比赛使用红球（减压75%）。</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val="en-US" w:eastAsia="zh-CN"/>
        </w:rPr>
        <w:t>(E)</w:t>
      </w:r>
      <w:r>
        <w:rPr>
          <w:rFonts w:hint="eastAsia" w:ascii="仿宋_GB2312" w:hAnsi="仿宋_GB2312" w:eastAsia="仿宋_GB2312" w:cs="仿宋_GB2312"/>
          <w:b w:val="0"/>
          <w:bCs w:val="0"/>
          <w:spacing w:val="6"/>
          <w:sz w:val="32"/>
          <w:szCs w:val="32"/>
          <w:lang w:eastAsia="zh-CN"/>
        </w:rPr>
        <w:t>比赛场地标准为（长10.97M；宽5.485M）。</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drawing>
          <wp:anchor distT="0" distB="0" distL="0" distR="0" simplePos="0" relativeHeight="251659264" behindDoc="0" locked="0" layoutInCell="1" allowOverlap="1">
            <wp:simplePos x="0" y="0"/>
            <wp:positionH relativeFrom="column">
              <wp:posOffset>369570</wp:posOffset>
            </wp:positionH>
            <wp:positionV relativeFrom="paragraph">
              <wp:posOffset>121920</wp:posOffset>
            </wp:positionV>
            <wp:extent cx="5096510" cy="2268220"/>
            <wp:effectExtent l="0" t="0" r="8890" b="17780"/>
            <wp:wrapTopAndBottom/>
            <wp:docPr id="1154962925" name="图片 1" descr="微信图片_2024091613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54962925" name="图片 1" descr="微信图片_20240916131901"/>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5096510" cy="2268220"/>
                    </a:xfrm>
                    <a:prstGeom prst="rect">
                      <a:avLst/>
                    </a:prstGeom>
                    <a:noFill/>
                    <a:ln>
                      <a:noFill/>
                    </a:ln>
                  </pic:spPr>
                </pic:pic>
              </a:graphicData>
            </a:graphic>
          </wp:anchor>
        </w:drawing>
      </w:r>
      <w:r>
        <w:rPr>
          <w:rFonts w:hint="eastAsia" w:ascii="仿宋_GB2312" w:hAnsi="仿宋_GB2312" w:eastAsia="仿宋_GB2312" w:cs="仿宋_GB2312"/>
          <w:b w:val="0"/>
          <w:bCs w:val="0"/>
          <w:spacing w:val="6"/>
          <w:sz w:val="32"/>
          <w:szCs w:val="32"/>
          <w:lang w:eastAsia="zh-CN"/>
        </w:rPr>
        <w:t>(U8的场地示意图）</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2.比赛使用“发球无擦网”规则。在比赛中，如果发球方发出的球擦网（或者中心带）之后落入有效区域，被视为发球有效。</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3.种子的确立：种子数量根据参赛人数和分组数确定。种子的确定依据参考2024年长春</w:t>
      </w:r>
      <w:r>
        <w:rPr>
          <w:rFonts w:hint="eastAsia" w:ascii="仿宋_GB2312" w:hAnsi="仿宋_GB2312" w:eastAsia="仿宋_GB2312" w:cs="仿宋_GB2312"/>
          <w:b w:val="0"/>
          <w:bCs w:val="0"/>
          <w:spacing w:val="6"/>
          <w:sz w:val="32"/>
          <w:szCs w:val="32"/>
          <w:lang w:val="en-US" w:eastAsia="zh-CN"/>
        </w:rPr>
        <w:t>市</w:t>
      </w:r>
      <w:r>
        <w:rPr>
          <w:rFonts w:hint="eastAsia" w:ascii="仿宋_GB2312" w:hAnsi="仿宋_GB2312" w:eastAsia="仿宋_GB2312" w:cs="仿宋_GB2312"/>
          <w:b w:val="0"/>
          <w:bCs w:val="0"/>
          <w:spacing w:val="6"/>
          <w:sz w:val="32"/>
          <w:szCs w:val="32"/>
          <w:lang w:eastAsia="zh-CN"/>
        </w:rPr>
        <w:t>网球青少年网球锦标赛的成绩。</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4.抽签根据报名情况，由裁判长拟定抽签方案，交比赛监督确认后，在抽签开始前公布。</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5.在特殊情况下，为使比赛顺利进行，裁判长或赛事监督有临时更改赛制的权利。</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pacing w:val="6"/>
          <w:sz w:val="32"/>
          <w:szCs w:val="32"/>
        </w:rPr>
        <w:t>九、录取名次与奖励</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（一）各组别录取前8名，参赛不足8名递减</w:t>
      </w:r>
      <w:r>
        <w:rPr>
          <w:rFonts w:hint="eastAsia" w:ascii="仿宋_GB2312" w:hAnsi="仿宋_GB2312" w:eastAsia="仿宋_GB2312" w:cs="仿宋_GB2312"/>
          <w:b w:val="0"/>
          <w:bCs w:val="0"/>
          <w:spacing w:val="6"/>
          <w:sz w:val="32"/>
          <w:szCs w:val="32"/>
          <w:lang w:val="en-US" w:eastAsia="zh-CN"/>
        </w:rPr>
        <w:t>1</w:t>
      </w:r>
      <w:r>
        <w:rPr>
          <w:rFonts w:hint="eastAsia" w:ascii="仿宋_GB2312" w:hAnsi="仿宋_GB2312" w:eastAsia="仿宋_GB2312" w:cs="仿宋_GB2312"/>
          <w:b w:val="0"/>
          <w:bCs w:val="0"/>
          <w:spacing w:val="6"/>
          <w:sz w:val="32"/>
          <w:szCs w:val="32"/>
          <w:lang w:eastAsia="zh-CN"/>
        </w:rPr>
        <w:t>名录取。</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（二）各组别前3名颁发奖牌、</w:t>
      </w:r>
      <w:r>
        <w:rPr>
          <w:rFonts w:hint="eastAsia" w:ascii="仿宋_GB2312" w:hAnsi="仿宋_GB2312" w:eastAsia="仿宋_GB2312" w:cs="仿宋_GB2312"/>
          <w:b w:val="0"/>
          <w:bCs w:val="0"/>
          <w:spacing w:val="6"/>
          <w:sz w:val="32"/>
          <w:szCs w:val="32"/>
          <w:lang w:val="en-US" w:eastAsia="zh-CN"/>
        </w:rPr>
        <w:t>奖杯与</w:t>
      </w:r>
      <w:r>
        <w:rPr>
          <w:rFonts w:hint="eastAsia" w:ascii="仿宋_GB2312" w:hAnsi="仿宋_GB2312" w:eastAsia="仿宋_GB2312" w:cs="仿宋_GB2312"/>
          <w:b w:val="0"/>
          <w:bCs w:val="0"/>
          <w:spacing w:val="6"/>
          <w:sz w:val="32"/>
          <w:szCs w:val="32"/>
          <w:lang w:eastAsia="zh-CN"/>
        </w:rPr>
        <w:t>成绩证书</w:t>
      </w: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eastAsia="仿宋_GB2312" w:cs="仿宋_GB2312"/>
          <w:b w:val="0"/>
          <w:bCs w:val="0"/>
          <w:spacing w:val="6"/>
          <w:sz w:val="32"/>
          <w:szCs w:val="32"/>
          <w:lang w:eastAsia="zh-CN"/>
        </w:rPr>
        <w:t>4至8名颁发成绩证书。</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spacing w:val="6"/>
          <w:sz w:val="32"/>
          <w:szCs w:val="32"/>
        </w:rPr>
      </w:pPr>
      <w:r>
        <w:rPr>
          <w:rFonts w:hint="eastAsia" w:ascii="黑体" w:hAnsi="黑体" w:eastAsia="黑体" w:cs="黑体"/>
          <w:snapToGrid w:val="0"/>
          <w:color w:val="000000"/>
          <w:spacing w:val="6"/>
          <w:sz w:val="32"/>
          <w:szCs w:val="32"/>
        </w:rPr>
        <w:t>十、报名办法</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eastAsia="zh-CN"/>
        </w:rPr>
        <w:t>（一）报名地点：长春市体育运动学校网球场会议室。</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（二）报名方式：各参赛单位或个人携带报名材料于</w:t>
      </w:r>
      <w:r>
        <w:rPr>
          <w:rFonts w:hint="eastAsia" w:ascii="仿宋_GB2312" w:hAnsi="仿宋_GB2312" w:eastAsia="仿宋_GB2312" w:cs="仿宋_GB2312"/>
          <w:b w:val="0"/>
          <w:bCs w:val="0"/>
          <w:spacing w:val="6"/>
          <w:sz w:val="32"/>
          <w:szCs w:val="32"/>
          <w:lang w:val="en-US" w:eastAsia="zh-CN"/>
        </w:rPr>
        <w:t>9</w:t>
      </w:r>
      <w:r>
        <w:rPr>
          <w:rFonts w:hint="eastAsia" w:ascii="仿宋_GB2312" w:hAnsi="仿宋_GB2312" w:eastAsia="仿宋_GB2312" w:cs="仿宋_GB2312"/>
          <w:b w:val="0"/>
          <w:bCs w:val="0"/>
          <w:spacing w:val="6"/>
          <w:sz w:val="32"/>
          <w:szCs w:val="32"/>
          <w:lang w:eastAsia="zh-CN"/>
        </w:rPr>
        <w:t>月</w:t>
      </w:r>
      <w:r>
        <w:rPr>
          <w:rFonts w:hint="eastAsia" w:ascii="仿宋_GB2312" w:hAnsi="仿宋_GB2312" w:eastAsia="仿宋_GB2312" w:cs="仿宋_GB2312"/>
          <w:b w:val="0"/>
          <w:bCs w:val="0"/>
          <w:spacing w:val="6"/>
          <w:sz w:val="32"/>
          <w:szCs w:val="32"/>
          <w:lang w:val="en-US" w:eastAsia="zh-CN"/>
        </w:rPr>
        <w:t>2</w:t>
      </w:r>
      <w:r>
        <w:rPr>
          <w:rFonts w:hint="eastAsia" w:ascii="仿宋_GB2312" w:hAnsi="仿宋_GB2312" w:eastAsia="仿宋_GB2312" w:cs="仿宋_GB2312"/>
          <w:b w:val="0"/>
          <w:bCs w:val="0"/>
          <w:spacing w:val="6"/>
          <w:sz w:val="32"/>
          <w:szCs w:val="32"/>
          <w:lang w:eastAsia="zh-CN"/>
        </w:rPr>
        <w:t>日前，将以下材料送交长春市体育运动学校网球场会议室：</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1.报名方式包括单位集体报名和个人报名参赛两种方式。以单位报名参赛的需提供加盖参赛单位公章的报名表一份；以个人报名参赛的需提供含个人报名信息的报名表一份。</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2.以单位报名参赛的需有单位领队签字并加盖参赛单位公章参赛承诺书一份。</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val="en-US" w:eastAsia="zh-CN"/>
        </w:rPr>
        <w:t>3</w:t>
      </w:r>
      <w:r>
        <w:rPr>
          <w:rFonts w:hint="eastAsia" w:ascii="仿宋_GB2312" w:hAnsi="仿宋_GB2312" w:eastAsia="仿宋_GB2312" w:cs="仿宋_GB2312"/>
          <w:b w:val="0"/>
          <w:bCs w:val="0"/>
          <w:spacing w:val="6"/>
          <w:sz w:val="32"/>
          <w:szCs w:val="32"/>
          <w:lang w:eastAsia="zh-CN"/>
        </w:rPr>
        <w:t>.参赛运动员及监护人签字的运动员参赛声明。</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4.反兴奋剂承诺书。</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（三）逾期未报名或未提交材料按不参赛处理，报名后不得更改，不在参赛人员名单内的人员届时不得入场。比赛时运动员须持本人二代身份证原件参赛。</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（四）不设立领队会议，等待补充通知。</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（五）本次比赛不收取报名费。联系人：孙明赫，联系电话：15584365855。</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spacing w:val="6"/>
          <w:sz w:val="32"/>
          <w:szCs w:val="32"/>
        </w:rPr>
      </w:pPr>
      <w:r>
        <w:rPr>
          <w:rFonts w:hint="eastAsia" w:ascii="黑体" w:hAnsi="黑体" w:eastAsia="黑体" w:cs="黑体"/>
          <w:snapToGrid w:val="0"/>
          <w:color w:val="000000"/>
          <w:spacing w:val="6"/>
          <w:sz w:val="32"/>
          <w:szCs w:val="32"/>
        </w:rPr>
        <w:t>十一、医疗规定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（一）比赛场地设置医疗站，配备救护车1辆，医护人员2名。每天比赛，医生负责处理治疗参赛选手比赛期间的伤病，并提出处理意见，以供裁判长参考。</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（二）医生的检查目的是判断参赛选手是否出现了可处置的医疗状况，以及在出现了这种状况时，如何进行医疗处置。检查时间的长短应合理，需要综合考虑参赛选手的安全和比赛的连贯性。</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（三）比赛中，如果出现紧急医疗状况而参赛运动员没有能力请求医生帮助，主裁判应立即停止比赛，安排医生到场提供帮助。</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（四）比赛前或比赛中，如果一名运动员被认为身体不具备比赛的能力，医生应通知裁判长，并建议将该运动员裁定为不能参加即将进行的比赛，或从正在进行的比赛中弃权。</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spacing w:val="6"/>
          <w:sz w:val="32"/>
          <w:szCs w:val="32"/>
        </w:rPr>
      </w:pPr>
      <w:r>
        <w:rPr>
          <w:rFonts w:hint="eastAsia" w:ascii="黑体" w:hAnsi="黑体" w:eastAsia="黑体" w:cs="黑体"/>
          <w:snapToGrid w:val="0"/>
          <w:color w:val="000000"/>
          <w:spacing w:val="6"/>
          <w:sz w:val="32"/>
          <w:szCs w:val="32"/>
        </w:rPr>
        <w:t>十二、对参赛运动员违反行为准则的处罚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比赛期间对违反行为准则者，将视其情节和违反的条款给予相应处罚。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（一）处罚程序：赛场违纪由临场主裁判记录违纪行为，交由裁判长核准并负责实施（三级罚分制，即警告、罚一分、罚一局）；赛场外违纪由裁判长或赛事监督直接实施处罚。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（二）运动员严重违反行为准则，将根据情节取消其比赛资格，并在赛区给予公告通报。（具体见附件1：《违</w:t>
      </w:r>
      <w:bookmarkStart w:id="0" w:name="_GoBack"/>
      <w:bookmarkEnd w:id="0"/>
      <w:r>
        <w:rPr>
          <w:rFonts w:hint="eastAsia" w:ascii="仿宋_GB2312" w:hAnsi="仿宋_GB2312" w:eastAsia="仿宋_GB2312" w:cs="仿宋_GB2312"/>
          <w:b w:val="0"/>
          <w:bCs w:val="0"/>
          <w:spacing w:val="6"/>
          <w:sz w:val="32"/>
          <w:szCs w:val="32"/>
          <w:lang w:eastAsia="zh-CN"/>
        </w:rPr>
        <w:t>反行为准则</w:t>
      </w:r>
      <w:r>
        <w:rPr>
          <w:rFonts w:hint="eastAsia" w:ascii="仿宋_GB2312" w:hAnsi="仿宋_GB2312" w:eastAsia="仿宋_GB2312" w:cs="仿宋_GB2312"/>
          <w:b w:val="0"/>
          <w:bCs w:val="0"/>
          <w:spacing w:val="6"/>
          <w:sz w:val="32"/>
          <w:szCs w:val="32"/>
          <w:lang w:val="en-US" w:eastAsia="zh-CN"/>
        </w:rPr>
        <w:t>罚</w:t>
      </w:r>
      <w:r>
        <w:rPr>
          <w:rFonts w:hint="eastAsia" w:ascii="仿宋_GB2312" w:hAnsi="仿宋_GB2312" w:eastAsia="仿宋_GB2312" w:cs="仿宋_GB2312"/>
          <w:b w:val="0"/>
          <w:bCs w:val="0"/>
          <w:spacing w:val="6"/>
          <w:sz w:val="32"/>
          <w:szCs w:val="32"/>
          <w:lang w:eastAsia="zh-CN"/>
        </w:rPr>
        <w:t>分条例》）。</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（三）参赛运动员对处罚有异议可向长春市青少年网球锦标赛组委会申诉。申诉时限为接到处罚通知2小时内有效。长春市青少年网球锦标赛组委会的审定为终审裁决。</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napToGrid w:val="0"/>
          <w:color w:val="000000"/>
          <w:spacing w:val="6"/>
          <w:sz w:val="32"/>
          <w:szCs w:val="32"/>
        </w:rPr>
        <w:t>十三、陪同人员不良行为</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任何时候，特别是参赛人员到达赛区或比赛期间，参赛选手的教练员、家长或其代理人不得有任何对主办单位、承办单位、赛事、其他选手、裁判人员或网球运动本身造成不利影响的言行。有此言行者，将取消参赛选手参加某场比赛或全部比赛的资格。</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napToGrid w:val="0"/>
          <w:color w:val="000000"/>
          <w:spacing w:val="6"/>
          <w:sz w:val="32"/>
          <w:szCs w:val="32"/>
        </w:rPr>
        <w:t>十四、医疗保险</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各参赛单位及个人需自行购买运动意外伤害保险，报名参赛运动员在比赛中发生的任何意外伤害等事故，主办、承办、协办单位不承担任何责任。</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napToGrid w:val="0"/>
          <w:color w:val="000000"/>
          <w:spacing w:val="6"/>
          <w:sz w:val="32"/>
          <w:szCs w:val="32"/>
        </w:rPr>
        <w:t>十五、反兴奋剂规定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（一）严格执行国家体育总局关于赛风赛纪的各项规定和要求，所有参赛人员自觉遵守，单位及个人加强管理。</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（二）参赛运动员禁止使用违禁药品，就餐时应注意反兴奋剂各项规定，禁止出现兴奋剂违规事件。</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（三）若比赛中出现兴奋剂违规行为，将取消运动员所获比赛成绩名次及奖励，并按照相关规定追加处罚。</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宋体" w:hAnsi="宋体" w:cs="宋体"/>
          <w:spacing w:val="6"/>
          <w:sz w:val="32"/>
          <w:szCs w:val="32"/>
        </w:rPr>
      </w:pPr>
      <w:r>
        <w:rPr>
          <w:rFonts w:hint="eastAsia" w:ascii="黑体" w:hAnsi="黑体" w:eastAsia="黑体" w:cs="黑体"/>
          <w:snapToGrid w:val="0"/>
          <w:color w:val="000000"/>
          <w:spacing w:val="6"/>
          <w:sz w:val="32"/>
          <w:szCs w:val="32"/>
        </w:rPr>
        <w:t>十六、仲裁和裁判员</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（一）本次比赛设立仲裁委员会并按照相关要求对比赛进行仲裁判定。</w:t>
      </w:r>
    </w:p>
    <w:p>
      <w:pPr>
        <w:pStyle w:val="2"/>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（二）裁判长及裁判员由长春市体育局统一选派，裁判长、副裁判长提前2天报到，裁判员提前1天报到。</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黑体" w:hAnsi="黑体" w:eastAsia="黑体" w:cs="黑体"/>
          <w:snapToGrid w:val="0"/>
          <w:color w:val="000000"/>
          <w:spacing w:val="6"/>
          <w:sz w:val="32"/>
          <w:szCs w:val="32"/>
        </w:rPr>
      </w:pPr>
      <w:r>
        <w:rPr>
          <w:rFonts w:hint="eastAsia" w:ascii="黑体" w:hAnsi="黑体" w:eastAsia="黑体" w:cs="黑体"/>
          <w:snapToGrid w:val="0"/>
          <w:color w:val="000000"/>
          <w:spacing w:val="6"/>
          <w:sz w:val="32"/>
          <w:szCs w:val="32"/>
        </w:rPr>
        <w:t>十七、本规程解释、修改权</w:t>
      </w:r>
      <w:r>
        <w:rPr>
          <w:rFonts w:hint="eastAsia" w:ascii="黑体" w:hAnsi="黑体" w:eastAsia="黑体" w:cs="黑体"/>
          <w:snapToGrid w:val="0"/>
          <w:color w:val="000000"/>
          <w:spacing w:val="6"/>
          <w:sz w:val="32"/>
          <w:szCs w:val="32"/>
          <w:lang w:eastAsia="zh-CN"/>
        </w:rPr>
        <w:t>归</w:t>
      </w:r>
      <w:r>
        <w:rPr>
          <w:rFonts w:hint="eastAsia" w:ascii="黑体" w:hAnsi="黑体" w:eastAsia="黑体" w:cs="黑体"/>
          <w:snapToGrid w:val="0"/>
          <w:color w:val="000000"/>
          <w:spacing w:val="6"/>
          <w:sz w:val="32"/>
          <w:szCs w:val="32"/>
        </w:rPr>
        <w:t>属长春市体育局，</w:t>
      </w:r>
      <w:r>
        <w:rPr>
          <w:rFonts w:hint="eastAsia" w:ascii="黑体" w:hAnsi="黑体" w:eastAsia="黑体" w:cs="黑体"/>
          <w:snapToGrid w:val="0"/>
          <w:color w:val="000000"/>
          <w:spacing w:val="6"/>
          <w:sz w:val="32"/>
          <w:szCs w:val="32"/>
          <w:lang w:eastAsia="zh-CN"/>
        </w:rPr>
        <w:t>未尽事宜</w:t>
      </w:r>
      <w:r>
        <w:rPr>
          <w:rFonts w:hint="eastAsia" w:ascii="黑体" w:hAnsi="黑体" w:eastAsia="黑体" w:cs="黑体"/>
          <w:snapToGrid w:val="0"/>
          <w:color w:val="000000"/>
          <w:spacing w:val="6"/>
          <w:sz w:val="32"/>
          <w:szCs w:val="32"/>
        </w:rPr>
        <w:t>另行通知。</w:t>
      </w:r>
    </w:p>
    <w:p>
      <w:pPr>
        <w:keepNext w:val="0"/>
        <w:keepLines w:val="0"/>
        <w:pageBreakBefore w:val="0"/>
        <w:kinsoku/>
        <w:wordWrap/>
        <w:overflowPunct/>
        <w:topLinePunct w:val="0"/>
        <w:autoSpaceDE/>
        <w:autoSpaceDN/>
        <w:bidi w:val="0"/>
        <w:adjustRightInd/>
        <w:spacing w:line="580" w:lineRule="exact"/>
        <w:ind w:left="105" w:leftChars="50" w:right="6" w:firstLine="664" w:firstLineChars="200"/>
        <w:textAlignment w:val="auto"/>
        <w:outlineLvl w:val="0"/>
        <w:rPr>
          <w:rFonts w:hint="eastAsia" w:ascii="黑体" w:hAnsi="黑体" w:eastAsia="黑体" w:cs="黑体"/>
          <w:snapToGrid w:val="0"/>
          <w:color w:val="000000"/>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48AB"/>
    <w:rsid w:val="349D6F9C"/>
    <w:rsid w:val="3994594E"/>
    <w:rsid w:val="3B8F3508"/>
    <w:rsid w:val="49BF3984"/>
    <w:rsid w:val="66FB48AB"/>
    <w:rsid w:val="FF7B8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rPr>
      <w:rFonts w:ascii="宋体" w:hAnsi="宋体" w:cs="宋体"/>
      <w:sz w:val="39"/>
      <w:szCs w:val="39"/>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First Indent 2"/>
    <w:basedOn w:val="3"/>
    <w:next w:val="1"/>
    <w:semiHidden/>
    <w:unhideWhenUsed/>
    <w:qFormat/>
    <w:uiPriority w:val="99"/>
    <w:pPr>
      <w:ind w:firstLine="420" w:firstLineChars="200"/>
    </w:pPr>
  </w:style>
  <w:style w:type="paragraph" w:customStyle="1" w:styleId="8">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3029</Words>
  <Characters>3289</Characters>
  <Lines>0</Lines>
  <Paragraphs>0</Paragraphs>
  <TotalTime>0</TotalTime>
  <ScaleCrop>false</ScaleCrop>
  <LinksUpToDate>false</LinksUpToDate>
  <CharactersWithSpaces>3295</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2025-08-21T14:34:00Z</dcterms:created>
  <dc:creator>涛涛</dc:creator>
  <cp:lastModifiedBy>langchao</cp:lastModifiedBy>
  <dcterms:modified xsi:type="dcterms:W3CDTF">2025-08-22T12:12:36Z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CAC8EE93D096406D9902015E602BD977_11</vt:lpwstr>
  </property>
  <property fmtid="{D5CDD505-2E9C-101B-9397-08002B2CF9AE}" pid="4" name="KSOTemplateDocerSaveRecord">
    <vt:lpwstr>eyJoZGlkIjoiOGM0ZTJlZjI0ZTAzZmY4NDRjNGQ5ZTFhYzZlMjAzYjgiLCJ1c2VySWQiOiI5NjIyMDQxOTkifQ==</vt:lpwstr>
  </property>
</Properties>
</file>